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39FC5" w14:textId="5D010F25" w:rsidR="00D24A48" w:rsidRDefault="00BC1F43">
      <w:pPr>
        <w:pStyle w:val="NormalWeb"/>
        <w:shd w:val="clear" w:color="auto" w:fill="FFFFFF"/>
        <w:spacing w:after="270"/>
        <w:rPr>
          <w:b/>
          <w:bCs/>
          <w:sz w:val="28"/>
          <w:szCs w:val="28"/>
        </w:rPr>
      </w:pPr>
      <w:r>
        <w:rPr>
          <w:noProof/>
        </w:rPr>
        <w:drawing>
          <wp:anchor distT="0" distB="0" distL="114300" distR="114300" simplePos="0" relativeHeight="251659264" behindDoc="0" locked="0" layoutInCell="1" allowOverlap="1" wp14:anchorId="01548191" wp14:editId="40619C0B">
            <wp:simplePos x="0" y="0"/>
            <wp:positionH relativeFrom="column">
              <wp:posOffset>-461645</wp:posOffset>
            </wp:positionH>
            <wp:positionV relativeFrom="paragraph">
              <wp:posOffset>-4446</wp:posOffset>
            </wp:positionV>
            <wp:extent cx="961390" cy="989965"/>
            <wp:effectExtent l="0" t="0" r="0" b="635"/>
            <wp:wrapNone/>
            <wp:docPr id="38" name="Image 1" descr="Une image contenant texte, Graphique, Polic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38" name="Image 1" descr="Une image contenant texte, Graphique, Police, capture d’écran&#10;&#10;Description générée automatiquement"/>
                    <pic:cNvPicPr/>
                  </pic:nvPicPr>
                  <pic:blipFill>
                    <a:blip r:embed="rId7" cstate="print"/>
                    <a:stretch>
                      <a:fillRect/>
                    </a:stretch>
                  </pic:blipFill>
                  <pic:spPr>
                    <a:xfrm>
                      <a:off x="0" y="0"/>
                      <a:ext cx="961390" cy="98996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0288" behindDoc="0" locked="0" layoutInCell="1" allowOverlap="1" wp14:anchorId="4837CE81" wp14:editId="6230E048">
            <wp:simplePos x="0" y="0"/>
            <wp:positionH relativeFrom="column">
              <wp:posOffset>5130625</wp:posOffset>
            </wp:positionH>
            <wp:positionV relativeFrom="paragraph">
              <wp:posOffset>0</wp:posOffset>
            </wp:positionV>
            <wp:extent cx="1180006" cy="1102995"/>
            <wp:effectExtent l="0" t="0" r="1270" b="1905"/>
            <wp:wrapThrough wrapText="bothSides">
              <wp:wrapPolygon edited="0">
                <wp:start x="0" y="0"/>
                <wp:lineTo x="0" y="21264"/>
                <wp:lineTo x="21274" y="21264"/>
                <wp:lineTo x="21274" y="0"/>
                <wp:lineTo x="0" y="0"/>
              </wp:wrapPolygon>
            </wp:wrapThrough>
            <wp:docPr id="1262618772"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18772" name="Image 1" descr="Une image contenant texte, Police, Graphique, logo&#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3625" cy="110637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bookmarkStart w:id="0" w:name="_Hlk163739536"/>
      <w:bookmarkEnd w:id="0"/>
    </w:p>
    <w:p w14:paraId="720520D4" w14:textId="4DFF84A9" w:rsidR="00D24A48" w:rsidRDefault="00D24A48">
      <w:pPr>
        <w:pStyle w:val="NormalWeb"/>
        <w:shd w:val="clear" w:color="auto" w:fill="FFFFFF"/>
        <w:spacing w:after="270"/>
        <w:rPr>
          <w:sz w:val="28"/>
          <w:szCs w:val="28"/>
        </w:rPr>
      </w:pPr>
    </w:p>
    <w:p w14:paraId="49C9642B" w14:textId="77777777" w:rsidR="00D24A48" w:rsidRDefault="00D24A48">
      <w:pPr>
        <w:pStyle w:val="NormalWeb"/>
        <w:shd w:val="clear" w:color="auto" w:fill="FFFFFF"/>
        <w:spacing w:after="270"/>
        <w:rPr>
          <w:sz w:val="28"/>
          <w:szCs w:val="28"/>
        </w:rPr>
      </w:pPr>
    </w:p>
    <w:p w14:paraId="4E14A8E7" w14:textId="77777777" w:rsidR="00D24A48" w:rsidRDefault="00D24A48">
      <w:pPr>
        <w:pStyle w:val="NormalWeb"/>
        <w:shd w:val="clear" w:color="auto" w:fill="FFFFFF"/>
        <w:spacing w:after="270"/>
        <w:rPr>
          <w:sz w:val="28"/>
          <w:szCs w:val="28"/>
        </w:rPr>
      </w:pPr>
    </w:p>
    <w:p w14:paraId="09A0733F" w14:textId="77777777" w:rsidR="00D24A48" w:rsidRPr="00CE182F" w:rsidRDefault="00000000" w:rsidP="00CE182F">
      <w:pPr>
        <w:pStyle w:val="NormalWeb"/>
        <w:shd w:val="clear" w:color="auto" w:fill="FFFFFF"/>
        <w:spacing w:before="0" w:beforeAutospacing="0" w:after="0" w:afterAutospacing="0"/>
        <w:jc w:val="center"/>
        <w:rPr>
          <w:rFonts w:asciiTheme="minorBidi" w:hAnsiTheme="minorBidi" w:cstheme="minorBidi"/>
          <w:b/>
          <w:bCs/>
        </w:rPr>
      </w:pPr>
      <w:r w:rsidRPr="00CE182F">
        <w:rPr>
          <w:rFonts w:asciiTheme="minorBidi" w:hAnsiTheme="minorBidi" w:cstheme="minorBidi"/>
          <w:b/>
          <w:bCs/>
        </w:rPr>
        <w:t xml:space="preserve">Le Centre Roua pour la recherche, les études et la formation </w:t>
      </w:r>
    </w:p>
    <w:p w14:paraId="6B71FCBE" w14:textId="6E381A5A" w:rsidR="00D24A48" w:rsidRPr="00CE182F" w:rsidRDefault="00000000" w:rsidP="00CE182F">
      <w:pPr>
        <w:pStyle w:val="NormalWeb"/>
        <w:shd w:val="clear" w:color="auto" w:fill="FFFFFF"/>
        <w:spacing w:before="0" w:beforeAutospacing="0" w:after="0" w:afterAutospacing="0"/>
        <w:jc w:val="center"/>
        <w:rPr>
          <w:rFonts w:asciiTheme="minorBidi" w:hAnsiTheme="minorBidi" w:cstheme="minorBidi"/>
          <w:b/>
          <w:bCs/>
        </w:rPr>
      </w:pPr>
      <w:proofErr w:type="gramStart"/>
      <w:r w:rsidRPr="00CE182F">
        <w:rPr>
          <w:rFonts w:asciiTheme="minorBidi" w:hAnsiTheme="minorBidi" w:cstheme="minorBidi"/>
          <w:b/>
          <w:bCs/>
        </w:rPr>
        <w:t>en</w:t>
      </w:r>
      <w:proofErr w:type="gramEnd"/>
      <w:r w:rsidRPr="00CE182F">
        <w:rPr>
          <w:rFonts w:asciiTheme="minorBidi" w:hAnsiTheme="minorBidi" w:cstheme="minorBidi"/>
          <w:b/>
          <w:bCs/>
        </w:rPr>
        <w:t xml:space="preserve"> éducation et </w:t>
      </w:r>
      <w:r w:rsidRPr="007B0E0A">
        <w:rPr>
          <w:rFonts w:asciiTheme="minorBidi" w:hAnsiTheme="minorBidi" w:cstheme="minorBidi"/>
          <w:b/>
          <w:bCs/>
        </w:rPr>
        <w:t>développement</w:t>
      </w:r>
      <w:r w:rsidRPr="007B0E0A">
        <w:rPr>
          <w:rFonts w:asciiTheme="minorBidi" w:hAnsiTheme="minorBidi" w:cstheme="minorBidi"/>
          <w:b/>
          <w:bCs/>
          <w:rtl/>
        </w:rPr>
        <w:t xml:space="preserve"> </w:t>
      </w:r>
      <w:r w:rsidR="00BC1F43" w:rsidRPr="007B0E0A">
        <w:rPr>
          <w:rFonts w:asciiTheme="minorBidi" w:hAnsiTheme="minorBidi" w:cstheme="minorBidi"/>
          <w:b/>
          <w:bCs/>
        </w:rPr>
        <w:t xml:space="preserve"> (CRREFED)</w:t>
      </w:r>
    </w:p>
    <w:p w14:paraId="0EFA0275" w14:textId="111261F9" w:rsidR="00D24A48" w:rsidRPr="00CE182F" w:rsidRDefault="00CE182F">
      <w:pPr>
        <w:pStyle w:val="NormalWeb"/>
        <w:shd w:val="clear" w:color="auto" w:fill="FFFFFF"/>
        <w:spacing w:after="270"/>
        <w:jc w:val="center"/>
        <w:rPr>
          <w:b/>
          <w:bCs/>
          <w:sz w:val="28"/>
          <w:szCs w:val="28"/>
        </w:rPr>
      </w:pPr>
      <w:r w:rsidRPr="00CE182F">
        <w:rPr>
          <w:b/>
          <w:bCs/>
          <w:sz w:val="28"/>
          <w:szCs w:val="28"/>
        </w:rPr>
        <w:t>ET</w:t>
      </w:r>
    </w:p>
    <w:p w14:paraId="283CF8AE" w14:textId="7F2A3964" w:rsidR="00D24A48" w:rsidRPr="007B0E0A" w:rsidRDefault="00000000">
      <w:pPr>
        <w:pStyle w:val="NormalWeb"/>
        <w:shd w:val="clear" w:color="auto" w:fill="FFFFFF"/>
        <w:spacing w:after="270"/>
        <w:jc w:val="center"/>
        <w:rPr>
          <w:b/>
          <w:bCs/>
          <w:sz w:val="28"/>
          <w:szCs w:val="28"/>
        </w:rPr>
      </w:pPr>
      <w:r w:rsidRPr="00CE182F">
        <w:rPr>
          <w:b/>
          <w:bCs/>
          <w:sz w:val="28"/>
          <w:szCs w:val="28"/>
        </w:rPr>
        <w:t xml:space="preserve">Le Centre de développement de la Région Tensift, </w:t>
      </w:r>
      <w:r w:rsidR="00BC1F43" w:rsidRPr="007B0E0A">
        <w:rPr>
          <w:b/>
          <w:bCs/>
          <w:sz w:val="28"/>
          <w:szCs w:val="28"/>
        </w:rPr>
        <w:t>(</w:t>
      </w:r>
      <w:r w:rsidRPr="007B0E0A">
        <w:rPr>
          <w:b/>
          <w:bCs/>
          <w:sz w:val="28"/>
          <w:szCs w:val="28"/>
        </w:rPr>
        <w:t>CDRT</w:t>
      </w:r>
      <w:r w:rsidR="00BC1F43" w:rsidRPr="007B0E0A">
        <w:rPr>
          <w:b/>
          <w:bCs/>
          <w:sz w:val="28"/>
          <w:szCs w:val="28"/>
        </w:rPr>
        <w:t>)</w:t>
      </w:r>
    </w:p>
    <w:p w14:paraId="461CEB33" w14:textId="77777777" w:rsidR="00D24A48" w:rsidRDefault="00D24A48">
      <w:pPr>
        <w:pStyle w:val="NormalWeb"/>
        <w:shd w:val="clear" w:color="auto" w:fill="FFFFFF"/>
        <w:spacing w:after="270"/>
        <w:jc w:val="center"/>
        <w:rPr>
          <w:sz w:val="28"/>
          <w:szCs w:val="28"/>
        </w:rPr>
      </w:pPr>
    </w:p>
    <w:p w14:paraId="5E77E203" w14:textId="77777777" w:rsidR="00D24A48" w:rsidRDefault="00000000">
      <w:pPr>
        <w:pStyle w:val="NormalWeb"/>
        <w:shd w:val="clear" w:color="auto" w:fill="FFFFFF"/>
        <w:spacing w:after="270"/>
        <w:jc w:val="center"/>
        <w:rPr>
          <w:sz w:val="28"/>
          <w:szCs w:val="28"/>
        </w:rPr>
      </w:pPr>
      <w:r>
        <w:rPr>
          <w:sz w:val="28"/>
          <w:szCs w:val="28"/>
        </w:rPr>
        <w:t>Organisent un</w:t>
      </w:r>
    </w:p>
    <w:p w14:paraId="382668CE" w14:textId="77777777" w:rsidR="00D24A48" w:rsidRDefault="00D24A48">
      <w:pPr>
        <w:pStyle w:val="NormalWeb"/>
        <w:shd w:val="clear" w:color="auto" w:fill="FFFFFF"/>
        <w:spacing w:after="270"/>
        <w:jc w:val="center"/>
        <w:rPr>
          <w:sz w:val="28"/>
          <w:szCs w:val="28"/>
        </w:rPr>
      </w:pPr>
    </w:p>
    <w:p w14:paraId="348F66E7" w14:textId="77777777" w:rsidR="00D24A48" w:rsidRDefault="00D24A48">
      <w:pPr>
        <w:pStyle w:val="NormalWeb"/>
        <w:shd w:val="clear" w:color="auto" w:fill="FFFFFF"/>
        <w:spacing w:after="270"/>
        <w:jc w:val="center"/>
        <w:rPr>
          <w:sz w:val="28"/>
          <w:szCs w:val="28"/>
        </w:rPr>
      </w:pPr>
    </w:p>
    <w:p w14:paraId="7C6B6B01" w14:textId="3F707D2B" w:rsidR="00D24A48" w:rsidRDefault="00000000">
      <w:pPr>
        <w:pStyle w:val="NormalWeb"/>
        <w:shd w:val="clear" w:color="auto" w:fill="FFFFFF"/>
        <w:spacing w:after="270"/>
        <w:jc w:val="center"/>
        <w:rPr>
          <w:b/>
          <w:bCs/>
          <w:sz w:val="28"/>
          <w:szCs w:val="28"/>
        </w:rPr>
      </w:pPr>
      <w:r>
        <w:rPr>
          <w:b/>
          <w:bCs/>
          <w:sz w:val="28"/>
          <w:szCs w:val="28"/>
        </w:rPr>
        <w:t>Colloque international</w:t>
      </w:r>
      <w:r w:rsidR="00BC1F43">
        <w:rPr>
          <w:b/>
          <w:bCs/>
          <w:sz w:val="28"/>
          <w:szCs w:val="28"/>
        </w:rPr>
        <w:t xml:space="preserve"> </w:t>
      </w:r>
      <w:r w:rsidR="00BC1F43" w:rsidRPr="007B0E0A">
        <w:rPr>
          <w:b/>
          <w:spacing w:val="-8"/>
          <w:sz w:val="28"/>
        </w:rPr>
        <w:t>de Marrakech</w:t>
      </w:r>
      <w:r w:rsidR="00BC1F43" w:rsidRPr="007B0E0A">
        <w:rPr>
          <w:b/>
          <w:bCs/>
          <w:sz w:val="28"/>
          <w:szCs w:val="28"/>
        </w:rPr>
        <w:t xml:space="preserve"> </w:t>
      </w:r>
      <w:r w:rsidR="00BC1F43" w:rsidRPr="00BC1F43">
        <w:rPr>
          <w:b/>
          <w:bCs/>
          <w:sz w:val="28"/>
          <w:szCs w:val="28"/>
        </w:rPr>
        <w:t>sur</w:t>
      </w:r>
    </w:p>
    <w:p w14:paraId="3FF50351" w14:textId="77777777" w:rsidR="00D24A48" w:rsidRDefault="00D24A48">
      <w:pPr>
        <w:pStyle w:val="NormalWeb"/>
        <w:shd w:val="clear" w:color="auto" w:fill="FFFFFF"/>
        <w:spacing w:after="270"/>
        <w:jc w:val="center"/>
        <w:rPr>
          <w:b/>
          <w:bCs/>
          <w:sz w:val="28"/>
          <w:szCs w:val="28"/>
        </w:rPr>
      </w:pPr>
    </w:p>
    <w:p w14:paraId="358D214E" w14:textId="77777777" w:rsidR="00D24A48" w:rsidRDefault="00000000">
      <w:pPr>
        <w:jc w:val="center"/>
        <w:rPr>
          <w:rFonts w:ascii="Times New Roman" w:hAnsi="Times New Roman" w:cs="Times New Roman"/>
          <w:b/>
          <w:bCs/>
          <w:sz w:val="32"/>
          <w:szCs w:val="32"/>
        </w:rPr>
      </w:pPr>
      <w:r>
        <w:rPr>
          <w:sz w:val="28"/>
          <w:szCs w:val="28"/>
          <w:rtl/>
        </w:rPr>
        <w:t xml:space="preserve"> </w:t>
      </w:r>
      <w:r>
        <w:rPr>
          <w:rFonts w:ascii="Times New Roman" w:hAnsi="Times New Roman" w:cs="Times New Roman"/>
          <w:b/>
          <w:bCs/>
          <w:sz w:val="32"/>
          <w:szCs w:val="32"/>
        </w:rPr>
        <w:t>L’éducation préscolaire et les défis de la réforme du système d’éducation et de formation</w:t>
      </w:r>
    </w:p>
    <w:p w14:paraId="02436FE0" w14:textId="77777777" w:rsidR="00D24A48" w:rsidRDefault="00D24A48">
      <w:pPr>
        <w:jc w:val="center"/>
        <w:rPr>
          <w:rFonts w:ascii="Times New Roman" w:hAnsi="Times New Roman" w:cs="Times New Roman"/>
          <w:b/>
          <w:bCs/>
          <w:sz w:val="20"/>
          <w:szCs w:val="20"/>
        </w:rPr>
      </w:pPr>
    </w:p>
    <w:p w14:paraId="7027A33D" w14:textId="77777777" w:rsidR="00D24A48" w:rsidRDefault="00000000">
      <w:pPr>
        <w:jc w:val="center"/>
        <w:rPr>
          <w:b/>
          <w:bCs/>
          <w:sz w:val="28"/>
          <w:szCs w:val="28"/>
        </w:rPr>
      </w:pPr>
      <w:r>
        <w:rPr>
          <w:b/>
          <w:bCs/>
          <w:sz w:val="28"/>
          <w:szCs w:val="28"/>
        </w:rPr>
        <w:t xml:space="preserve">La qualité et la généralisation de l'éducation préscolaire, </w:t>
      </w:r>
    </w:p>
    <w:p w14:paraId="3BAE4436" w14:textId="77777777" w:rsidR="00D24A48" w:rsidRDefault="00000000">
      <w:pPr>
        <w:jc w:val="center"/>
        <w:rPr>
          <w:b/>
          <w:bCs/>
          <w:sz w:val="28"/>
          <w:szCs w:val="28"/>
        </w:rPr>
      </w:pPr>
      <w:proofErr w:type="gramStart"/>
      <w:r>
        <w:rPr>
          <w:b/>
          <w:bCs/>
          <w:sz w:val="28"/>
          <w:szCs w:val="28"/>
        </w:rPr>
        <w:t>entrées</w:t>
      </w:r>
      <w:proofErr w:type="gramEnd"/>
      <w:r>
        <w:rPr>
          <w:b/>
          <w:bCs/>
          <w:sz w:val="28"/>
          <w:szCs w:val="28"/>
        </w:rPr>
        <w:t xml:space="preserve"> essentielles pour bâtir la nouvelle école marocaine</w:t>
      </w:r>
    </w:p>
    <w:p w14:paraId="277BAF80" w14:textId="77777777" w:rsidR="00D24A48" w:rsidRDefault="00D24A48">
      <w:pPr>
        <w:jc w:val="center"/>
        <w:rPr>
          <w:b/>
          <w:bCs/>
          <w:sz w:val="28"/>
          <w:szCs w:val="28"/>
        </w:rPr>
      </w:pPr>
    </w:p>
    <w:p w14:paraId="4F0879D8" w14:textId="77777777" w:rsidR="00D24A48" w:rsidRDefault="00D24A48">
      <w:pPr>
        <w:jc w:val="center"/>
        <w:rPr>
          <w:b/>
          <w:bCs/>
          <w:sz w:val="28"/>
          <w:szCs w:val="28"/>
        </w:rPr>
      </w:pPr>
    </w:p>
    <w:p w14:paraId="13374417" w14:textId="77777777" w:rsidR="00D24A48" w:rsidRDefault="00D24A48">
      <w:pPr>
        <w:jc w:val="center"/>
        <w:rPr>
          <w:b/>
          <w:bCs/>
          <w:sz w:val="28"/>
          <w:szCs w:val="28"/>
        </w:rPr>
      </w:pPr>
    </w:p>
    <w:p w14:paraId="4A3BDA0E" w14:textId="77777777" w:rsidR="00D24A48" w:rsidRDefault="00000000">
      <w:pPr>
        <w:pStyle w:val="NormalWeb"/>
        <w:shd w:val="clear" w:color="auto" w:fill="FFFFFF"/>
        <w:bidi/>
        <w:spacing w:before="0" w:beforeAutospacing="0" w:after="270" w:afterAutospacing="0" w:line="300" w:lineRule="atLeast"/>
        <w:jc w:val="center"/>
        <w:rPr>
          <w:rtl/>
        </w:rPr>
      </w:pPr>
      <w:r>
        <w:rPr>
          <w:sz w:val="32"/>
          <w:szCs w:val="32"/>
        </w:rPr>
        <w:t>Marrakech, les 24, 25 et 26 mai 2024</w:t>
      </w:r>
    </w:p>
    <w:p w14:paraId="752931A9" w14:textId="77777777" w:rsidR="00D24A48" w:rsidRDefault="00D24A48">
      <w:pPr>
        <w:jc w:val="center"/>
        <w:rPr>
          <w:b/>
          <w:bCs/>
          <w:sz w:val="28"/>
          <w:szCs w:val="28"/>
        </w:rPr>
      </w:pPr>
    </w:p>
    <w:p w14:paraId="25011666" w14:textId="77777777" w:rsidR="007B0E0A" w:rsidRDefault="007B0E0A">
      <w:pPr>
        <w:jc w:val="center"/>
        <w:rPr>
          <w:b/>
          <w:bCs/>
          <w:sz w:val="28"/>
          <w:szCs w:val="28"/>
        </w:rPr>
      </w:pPr>
    </w:p>
    <w:p w14:paraId="486313C9" w14:textId="77777777" w:rsidR="00D24A48" w:rsidRDefault="00000000">
      <w:pPr>
        <w:pStyle w:val="NormalWeb"/>
        <w:shd w:val="clear" w:color="auto" w:fill="FFFFFF"/>
        <w:spacing w:after="270" w:line="300" w:lineRule="atLeast"/>
      </w:pPr>
      <w:r>
        <w:rPr>
          <w:b/>
          <w:bCs/>
        </w:rPr>
        <w:lastRenderedPageBreak/>
        <w:t>Contexte général</w:t>
      </w:r>
      <w:r>
        <w:t> </w:t>
      </w:r>
    </w:p>
    <w:p w14:paraId="1BFAD55F" w14:textId="77777777" w:rsidR="00D24A48" w:rsidRDefault="00000000">
      <w:pPr>
        <w:pStyle w:val="NormalWeb"/>
        <w:shd w:val="clear" w:color="auto" w:fill="FFFFFF"/>
        <w:spacing w:after="270" w:line="300" w:lineRule="atLeast"/>
      </w:pPr>
      <w:r>
        <w:t>L'éducation préscolaire occupe une place considérable dans le domaine éducatif en raison de son lien avec une période sensible et cruciale dans la formation personnelle de l'enfant/apprenant sur les plans psychologique, physique, émotionnel et intellectuel</w:t>
      </w:r>
      <w:r>
        <w:rPr>
          <w:rtl/>
        </w:rPr>
        <w:t>.</w:t>
      </w:r>
    </w:p>
    <w:p w14:paraId="00D85EB4" w14:textId="77777777" w:rsidR="00D24A48" w:rsidRDefault="00000000">
      <w:pPr>
        <w:pStyle w:val="NormalWeb"/>
        <w:shd w:val="clear" w:color="auto" w:fill="FFFFFF"/>
        <w:spacing w:after="270" w:line="300" w:lineRule="atLeast"/>
      </w:pPr>
      <w:r>
        <w:t>Les résultats des rapports nationaux et internationaux sur l'éducation au Maroc au cours des dix dernières années, ont souligné l'importance de l'éducation préscolaire et son rôle central dans la réforme du système éducatif, dans la généralisation de la scolarisation et la réduction du décrochage scolaire, en particulier dans les milieux défavorisés (rural en particulier).</w:t>
      </w:r>
    </w:p>
    <w:p w14:paraId="07B5D3EB" w14:textId="77777777" w:rsidR="00D24A48" w:rsidRDefault="00000000">
      <w:pPr>
        <w:pStyle w:val="NormalWeb"/>
        <w:shd w:val="clear" w:color="auto" w:fill="FFFFFF"/>
        <w:spacing w:after="270" w:line="300" w:lineRule="atLeast"/>
      </w:pPr>
      <w:r>
        <w:t>Les dispositions prises par l’Etat (projet de loi cadre n°1) pour renforcer l'éducation préscolaire et à accélérer sa diffusion se fixent 3 objectifs :</w:t>
      </w:r>
    </w:p>
    <w:p w14:paraId="658F9E82" w14:textId="77777777" w:rsidR="00D24A48" w:rsidRDefault="00000000">
      <w:pPr>
        <w:pStyle w:val="NormalWeb"/>
        <w:numPr>
          <w:ilvl w:val="0"/>
          <w:numId w:val="1"/>
        </w:numPr>
        <w:shd w:val="clear" w:color="auto" w:fill="FFFFFF"/>
        <w:spacing w:after="270" w:line="300" w:lineRule="atLeast"/>
      </w:pPr>
      <w:r>
        <w:t>Généraliser une éducation préscolaire équitable et inclusive.</w:t>
      </w:r>
    </w:p>
    <w:p w14:paraId="51C0D926" w14:textId="77777777" w:rsidR="00D24A48" w:rsidRDefault="00000000">
      <w:pPr>
        <w:pStyle w:val="NormalWeb"/>
        <w:numPr>
          <w:ilvl w:val="0"/>
          <w:numId w:val="1"/>
        </w:numPr>
        <w:shd w:val="clear" w:color="auto" w:fill="FFFFFF"/>
        <w:spacing w:after="270" w:line="300" w:lineRule="atLeast"/>
      </w:pPr>
      <w:r>
        <w:t>Améliorer la qualité de l'éducation préscolaire.</w:t>
      </w:r>
    </w:p>
    <w:p w14:paraId="6E5768F5" w14:textId="77777777" w:rsidR="00D24A48" w:rsidRDefault="00000000">
      <w:pPr>
        <w:pStyle w:val="NormalWeb"/>
        <w:numPr>
          <w:ilvl w:val="0"/>
          <w:numId w:val="1"/>
        </w:numPr>
        <w:shd w:val="clear" w:color="auto" w:fill="FFFFFF"/>
        <w:spacing w:after="270" w:line="300" w:lineRule="atLeast"/>
      </w:pPr>
      <w:r>
        <w:t>Améliorer la gouvernance de la gestion du domaine de l'éducation préscolaire et garantir un financement durable</w:t>
      </w:r>
      <w:r>
        <w:rPr>
          <w:rtl/>
        </w:rPr>
        <w:t>.</w:t>
      </w:r>
    </w:p>
    <w:p w14:paraId="2A627D42" w14:textId="77777777" w:rsidR="00D24A48" w:rsidRDefault="00000000">
      <w:pPr>
        <w:pStyle w:val="NormalWeb"/>
        <w:shd w:val="clear" w:color="auto" w:fill="FFFFFF"/>
        <w:spacing w:after="270" w:line="300" w:lineRule="atLeast"/>
      </w:pPr>
      <w:r>
        <w:t>Il convient de rappeler que le ministère avait précédemment élaboré, avec le soutien de l'UNICEF en 2018, le cadre de référence national pour l'éducation préscolaire. Ce document présentait le contexte général du projet, ses fondements et ses principes directeurs, ainsi que l'importance de cette éducation, son cadre curriculaire en termes d'orientations, de spécifications, de compétences, de domaines éducatifs, de contenu et de méthodes d'activation, avant d'aborder les structures physiques, les ressources humaines, l'organisation éducative et administrative. Des manuels conformes au cadre curriculaire pour l'éducation préscolaire et répondant aux normes de qualité et adaptés aux spécificités de la petite enfance ont ensuite été élaborés.</w:t>
      </w:r>
    </w:p>
    <w:p w14:paraId="4A870DAD" w14:textId="3C9D0C08" w:rsidR="00BD1FAE" w:rsidRPr="000354A8" w:rsidRDefault="00BD1FAE" w:rsidP="002E6F95">
      <w:pPr>
        <w:suppressAutoHyphens/>
        <w:ind w:firstLine="708"/>
        <w:rPr>
          <w:rFonts w:ascii="Times New Roman" w:eastAsia="Times New Roman" w:hAnsi="Times New Roman" w:cs="Times New Roman"/>
          <w:kern w:val="0"/>
          <w:sz w:val="24"/>
          <w:szCs w:val="24"/>
          <w:lang w:eastAsia="fr-FR"/>
        </w:rPr>
      </w:pPr>
      <w:r w:rsidRPr="000354A8">
        <w:rPr>
          <w:rFonts w:ascii="Times New Roman" w:eastAsia="Times New Roman" w:hAnsi="Times New Roman" w:cs="Times New Roman"/>
          <w:kern w:val="0"/>
          <w:sz w:val="24"/>
          <w:szCs w:val="24"/>
          <w:lang w:eastAsia="fr-FR"/>
        </w:rPr>
        <w:t xml:space="preserve">Le centre ROUA en tant qu'organisation de la société civile regroupant un maillon de professeurs formateurs, de directeurs d'école publique et d'expert en secteur de l'enseignement scolaire a participé à l'élaboration des </w:t>
      </w:r>
      <w:r w:rsidR="000354A8" w:rsidRPr="000354A8">
        <w:rPr>
          <w:rFonts w:ascii="Times New Roman" w:eastAsia="Times New Roman" w:hAnsi="Times New Roman" w:cs="Times New Roman"/>
          <w:kern w:val="0"/>
          <w:sz w:val="24"/>
          <w:szCs w:val="24"/>
          <w:lang w:eastAsia="fr-FR"/>
        </w:rPr>
        <w:t>curricula</w:t>
      </w:r>
      <w:r w:rsidRPr="000354A8">
        <w:rPr>
          <w:rFonts w:ascii="Times New Roman" w:eastAsia="Times New Roman" w:hAnsi="Times New Roman" w:cs="Times New Roman"/>
          <w:kern w:val="0"/>
          <w:sz w:val="24"/>
          <w:szCs w:val="24"/>
          <w:lang w:eastAsia="fr-FR"/>
        </w:rPr>
        <w:t xml:space="preserve"> de l'enseignement surtout au préscolaire, l'élaboration et exécution de modules de formation au préscolaire dans les CRMEF, et la formation initiale et continue des éducatrices et éducateurs. Le centre ROUA s'engage à partager le fruit des efforts de ses acteurs et partenaires via des colloques nationaux et internationaux et des formations de pointes spécifiques au préscolaire afin de participer vigoureusement </w:t>
      </w:r>
      <w:r w:rsidR="00A92BA0" w:rsidRPr="000354A8">
        <w:rPr>
          <w:rFonts w:ascii="Times New Roman" w:eastAsia="Times New Roman" w:hAnsi="Times New Roman" w:cs="Times New Roman"/>
          <w:kern w:val="0"/>
          <w:sz w:val="24"/>
          <w:szCs w:val="24"/>
          <w:lang w:eastAsia="fr-FR"/>
        </w:rPr>
        <w:t>aux efforts accrus</w:t>
      </w:r>
      <w:r w:rsidRPr="000354A8">
        <w:rPr>
          <w:rFonts w:ascii="Times New Roman" w:eastAsia="Times New Roman" w:hAnsi="Times New Roman" w:cs="Times New Roman"/>
          <w:kern w:val="0"/>
          <w:sz w:val="24"/>
          <w:szCs w:val="24"/>
          <w:lang w:eastAsia="fr-FR"/>
        </w:rPr>
        <w:t xml:space="preserve"> de la réforme de l'école marocaine.</w:t>
      </w:r>
    </w:p>
    <w:p w14:paraId="256B92CD" w14:textId="77777777" w:rsidR="00BD1FAE" w:rsidRPr="000354A8" w:rsidRDefault="00BD1FAE" w:rsidP="002E6F95">
      <w:pPr>
        <w:suppressAutoHyphens/>
        <w:ind w:firstLine="708"/>
        <w:rPr>
          <w:rFonts w:ascii="Times New Roman" w:eastAsia="Times New Roman" w:hAnsi="Times New Roman" w:cs="Times New Roman"/>
          <w:kern w:val="0"/>
          <w:sz w:val="24"/>
          <w:szCs w:val="24"/>
          <w:lang w:eastAsia="fr-FR"/>
        </w:rPr>
      </w:pPr>
    </w:p>
    <w:p w14:paraId="60DB138D" w14:textId="3A2480BD" w:rsidR="002E6F95" w:rsidRPr="000354A8" w:rsidRDefault="002E6F95" w:rsidP="002E6F95">
      <w:pPr>
        <w:suppressAutoHyphens/>
        <w:ind w:firstLine="708"/>
        <w:rPr>
          <w:rFonts w:ascii="Times New Roman" w:eastAsia="Times New Roman" w:hAnsi="Times New Roman" w:cs="Times New Roman"/>
          <w:kern w:val="0"/>
          <w:sz w:val="24"/>
          <w:szCs w:val="24"/>
          <w:lang w:eastAsia="fr-FR"/>
        </w:rPr>
      </w:pPr>
      <w:r w:rsidRPr="000354A8">
        <w:rPr>
          <w:rFonts w:ascii="Times New Roman" w:eastAsia="Times New Roman" w:hAnsi="Times New Roman" w:cs="Times New Roman"/>
          <w:kern w:val="0"/>
          <w:sz w:val="24"/>
          <w:szCs w:val="24"/>
          <w:lang w:eastAsia="fr-FR"/>
        </w:rPr>
        <w:t xml:space="preserve">De son côté le CDRT, en tant que société civile soucieuse de la lutte contre les inégalités scolaires et fort de l’expérience acquise dans ce domaine depuis 2016 (aide à la création de 10 classes,  encadrement d’une vingtaine de classes de préscolaire en milieu rural, formation d’éducatrices,…), est maintenant engagé dans un projet soutenu par la Principauté de Monaco, qui vise à contribuer à la promotion de l'accès à une éducation préscolaire de qualité pour les enfants des zones vulnérables de la région de Marrakech. Par un ensemble d’activités originales, il vise à définir un modèle pilote où sont réunies les </w:t>
      </w:r>
      <w:r w:rsidR="00885476" w:rsidRPr="000354A8">
        <w:rPr>
          <w:rFonts w:ascii="Times New Roman" w:eastAsia="Times New Roman" w:hAnsi="Times New Roman" w:cs="Times New Roman"/>
          <w:kern w:val="0"/>
          <w:sz w:val="24"/>
          <w:szCs w:val="24"/>
          <w:lang w:eastAsia="fr-FR"/>
        </w:rPr>
        <w:t>conditions pédagogiques</w:t>
      </w:r>
      <w:r w:rsidRPr="000354A8">
        <w:rPr>
          <w:rFonts w:ascii="Times New Roman" w:eastAsia="Times New Roman" w:hAnsi="Times New Roman" w:cs="Times New Roman"/>
          <w:kern w:val="0"/>
          <w:sz w:val="24"/>
          <w:szCs w:val="24"/>
          <w:lang w:eastAsia="fr-FR"/>
        </w:rPr>
        <w:t>, matérielles et sociales qui garantissent aux enfants de ces milieux une éducation préscolaire moderne et de qualité.</w:t>
      </w:r>
    </w:p>
    <w:p w14:paraId="1F6C295E" w14:textId="77777777" w:rsidR="00D24A48" w:rsidRDefault="00000000">
      <w:pPr>
        <w:pStyle w:val="NormalWeb"/>
        <w:shd w:val="clear" w:color="auto" w:fill="FFFFFF"/>
        <w:spacing w:after="270" w:line="300" w:lineRule="atLeast"/>
        <w:rPr>
          <w:b/>
          <w:bCs/>
        </w:rPr>
      </w:pPr>
      <w:r>
        <w:rPr>
          <w:b/>
          <w:bCs/>
        </w:rPr>
        <w:lastRenderedPageBreak/>
        <w:t>Notre ambition</w:t>
      </w:r>
    </w:p>
    <w:p w14:paraId="137BAD34" w14:textId="6DD17C3F" w:rsidR="00D24A48" w:rsidRDefault="00000000">
      <w:pPr>
        <w:pStyle w:val="NormalWeb"/>
        <w:shd w:val="clear" w:color="auto" w:fill="FFFFFF"/>
        <w:spacing w:after="270" w:line="300" w:lineRule="atLeast"/>
      </w:pPr>
      <w:r>
        <w:t xml:space="preserve">Partant de ce constat, le Centre </w:t>
      </w:r>
      <w:r w:rsidR="00885476">
        <w:t>Ro</w:t>
      </w:r>
      <w:r w:rsidR="00641444">
        <w:t>u</w:t>
      </w:r>
      <w:r w:rsidR="00885476">
        <w:t>a</w:t>
      </w:r>
      <w:r>
        <w:t xml:space="preserve"> </w:t>
      </w:r>
      <w:r w:rsidR="002E6F95">
        <w:t>et le</w:t>
      </w:r>
      <w:r>
        <w:t xml:space="preserve"> CDRT, ont décidé d’organiser ce colloque pour approfondir la réflexion sur ce projet national avec une approche fondée sur la compréhension des réalités, des défis et des enjeux de l'éducation préscolaire sur le terrain, dans le cadre d’un échange direct entre les institutions concernées et </w:t>
      </w:r>
      <w:proofErr w:type="gramStart"/>
      <w:r>
        <w:t>les  autres</w:t>
      </w:r>
      <w:proofErr w:type="gramEnd"/>
      <w:r>
        <w:t xml:space="preserve"> parties prenantes (éducateurs, chercheurs, acteurs de la société civile)</w:t>
      </w:r>
    </w:p>
    <w:p w14:paraId="0AB06442" w14:textId="77777777" w:rsidR="00D24A48" w:rsidRDefault="00000000">
      <w:pPr>
        <w:pStyle w:val="NormalWeb"/>
        <w:shd w:val="clear" w:color="auto" w:fill="FFFFFF"/>
        <w:spacing w:after="270" w:line="300" w:lineRule="atLeast"/>
      </w:pPr>
      <w:r>
        <w:t xml:space="preserve">Cet évènement vise à réunir des chercheurs, des experts nationaux et internationaux en éducation préscolaire, en ingénierie pédagogique, en gestion institutionnelle et en stratégies organisationnelles, pour explorer les initiatives et transformations opérées, évaluer ce qui a été accompli et étudier comment dans le cadre des échanges nationaux et internationaux il est possible de renforcer les efforts pour atteindre les objectifs de développement durable en éducation au Maroc, continuer à lutter contre les défis persistants pour assurer une éducation de qualité pour tous.  </w:t>
      </w:r>
    </w:p>
    <w:p w14:paraId="2C02EC94" w14:textId="77777777" w:rsidR="00D24A48" w:rsidRDefault="00000000">
      <w:pPr>
        <w:pStyle w:val="NormalWeb"/>
        <w:shd w:val="clear" w:color="auto" w:fill="FFFFFF"/>
        <w:spacing w:after="270" w:line="300" w:lineRule="atLeast"/>
      </w:pPr>
      <w:r>
        <w:t>Le colloque abordera aussi la réflexion sur les outils et les mécanismes nécessaires au niveau infrastructures, équipements et formation d’éducateurs qualifiés, qui sont nécessaires à une prise en charge adéquate de la petite enfance au sein d'institutions modernes, en particulier pour les enfants en situation de besoins spécifiques, afin de faciliter leur accès à l'école dans le cadre de leur intégration sociale</w:t>
      </w:r>
      <w:r>
        <w:rPr>
          <w:rtl/>
        </w:rPr>
        <w:t>.</w:t>
      </w:r>
    </w:p>
    <w:p w14:paraId="073AB0E0" w14:textId="77777777" w:rsidR="00D24A48" w:rsidRDefault="00000000">
      <w:pPr>
        <w:pStyle w:val="NormalWeb"/>
        <w:shd w:val="clear" w:color="auto" w:fill="FFFFFF"/>
        <w:spacing w:after="270" w:line="300" w:lineRule="atLeast"/>
        <w:rPr>
          <w:b/>
          <w:bCs/>
        </w:rPr>
      </w:pPr>
      <w:r>
        <w:rPr>
          <w:b/>
          <w:bCs/>
        </w:rPr>
        <w:t>Les axes proposés</w:t>
      </w:r>
    </w:p>
    <w:p w14:paraId="71A0434F" w14:textId="77777777" w:rsidR="00D24A48" w:rsidRDefault="00000000">
      <w:pPr>
        <w:pStyle w:val="NormalWeb"/>
        <w:numPr>
          <w:ilvl w:val="0"/>
          <w:numId w:val="2"/>
        </w:numPr>
        <w:shd w:val="clear" w:color="auto" w:fill="FFFFFF"/>
        <w:spacing w:after="270" w:line="300" w:lineRule="atLeast"/>
      </w:pPr>
      <w:r>
        <w:t>Diagnostic et analyse des défis et des opportunités auxquels est confronté le système éducatif au Maroc pour améliorer l'éducation préscolaire</w:t>
      </w:r>
      <w:r>
        <w:rPr>
          <w:rtl/>
        </w:rPr>
        <w:t>.</w:t>
      </w:r>
    </w:p>
    <w:p w14:paraId="2C4327E9" w14:textId="77777777" w:rsidR="00D24A48" w:rsidRDefault="00000000">
      <w:pPr>
        <w:pStyle w:val="NormalWeb"/>
        <w:numPr>
          <w:ilvl w:val="0"/>
          <w:numId w:val="2"/>
        </w:numPr>
        <w:shd w:val="clear" w:color="auto" w:fill="FFFFFF"/>
        <w:spacing w:after="270" w:line="300" w:lineRule="atLeast"/>
      </w:pPr>
      <w:r>
        <w:t>Quelle mobilisation sociale autour de l'école et quel partenariat pour réussir la généralisation et l'amélioration de l'éducation préscolaire</w:t>
      </w:r>
      <w:r>
        <w:rPr>
          <w:rtl/>
        </w:rPr>
        <w:t>.</w:t>
      </w:r>
    </w:p>
    <w:p w14:paraId="275ED303" w14:textId="6312F19C" w:rsidR="00D24A48" w:rsidRPr="002E6F95" w:rsidRDefault="002E6F95">
      <w:pPr>
        <w:pStyle w:val="NormalWeb"/>
        <w:numPr>
          <w:ilvl w:val="0"/>
          <w:numId w:val="2"/>
        </w:numPr>
        <w:shd w:val="clear" w:color="auto" w:fill="FFFFFF"/>
        <w:spacing w:after="270" w:line="300" w:lineRule="atLeast"/>
      </w:pPr>
      <w:r>
        <w:t>L</w:t>
      </w:r>
      <w:r w:rsidRPr="002E6F95">
        <w:t>e pr</w:t>
      </w:r>
      <w:r>
        <w:t>é</w:t>
      </w:r>
      <w:r w:rsidRPr="002E6F95">
        <w:t xml:space="preserve">scolaire dans le contexte de </w:t>
      </w:r>
      <w:r>
        <w:t>‘’</w:t>
      </w:r>
      <w:r w:rsidRPr="002E6F95">
        <w:t>l'école pionnière</w:t>
      </w:r>
      <w:r>
        <w:t>’’</w:t>
      </w:r>
      <w:r w:rsidRPr="002E6F95">
        <w:t xml:space="preserve"> au Maroc</w:t>
      </w:r>
    </w:p>
    <w:p w14:paraId="7BD1EADC" w14:textId="77777777" w:rsidR="00D24A48" w:rsidRDefault="00000000">
      <w:pPr>
        <w:pStyle w:val="NormalWeb"/>
        <w:numPr>
          <w:ilvl w:val="0"/>
          <w:numId w:val="2"/>
        </w:numPr>
        <w:shd w:val="clear" w:color="auto" w:fill="FFFFFF"/>
        <w:spacing w:after="270" w:line="300" w:lineRule="atLeast"/>
      </w:pPr>
      <w:r>
        <w:t>Approches pédagogiques innovantes en éducation préscolaire</w:t>
      </w:r>
    </w:p>
    <w:p w14:paraId="3F2BF2C8" w14:textId="77777777" w:rsidR="00D24A48" w:rsidRDefault="00000000">
      <w:pPr>
        <w:pStyle w:val="NormalWeb"/>
        <w:numPr>
          <w:ilvl w:val="0"/>
          <w:numId w:val="2"/>
        </w:numPr>
        <w:shd w:val="clear" w:color="auto" w:fill="FFFFFF"/>
        <w:spacing w:after="270" w:line="300" w:lineRule="atLeast"/>
      </w:pPr>
      <w:r>
        <w:t>Expériences réussies de coopération internationale dans l'amélioration de la qualité de l'éducation préscolaire</w:t>
      </w:r>
      <w:r>
        <w:rPr>
          <w:rtl/>
        </w:rPr>
        <w:t>.</w:t>
      </w:r>
    </w:p>
    <w:p w14:paraId="140DBC0C" w14:textId="77777777" w:rsidR="00D24A48" w:rsidRDefault="00000000">
      <w:pPr>
        <w:pStyle w:val="NormalWeb"/>
        <w:numPr>
          <w:ilvl w:val="0"/>
          <w:numId w:val="2"/>
        </w:numPr>
        <w:shd w:val="clear" w:color="auto" w:fill="FFFFFF"/>
        <w:spacing w:after="270" w:line="300" w:lineRule="atLeast"/>
      </w:pPr>
      <w:r>
        <w:t xml:space="preserve">L’accompagnement familial dans l’éducation préscolaire (sensibilisation, témoignages, …) </w:t>
      </w:r>
    </w:p>
    <w:p w14:paraId="6DF3E695" w14:textId="77777777" w:rsidR="00D24A48" w:rsidRDefault="00000000">
      <w:pPr>
        <w:pStyle w:val="NormalWeb"/>
        <w:numPr>
          <w:ilvl w:val="0"/>
          <w:numId w:val="2"/>
        </w:numPr>
        <w:shd w:val="clear" w:color="auto" w:fill="FFFFFF"/>
        <w:spacing w:after="270" w:line="300" w:lineRule="atLeast"/>
      </w:pPr>
      <w:r>
        <w:t>L’usage du numérique dans l’éducation préscolaire : enjeux, avantages et risques.</w:t>
      </w:r>
    </w:p>
    <w:p w14:paraId="40E1D43F" w14:textId="77777777" w:rsidR="00D24A48" w:rsidRDefault="00000000">
      <w:pPr>
        <w:pStyle w:val="NormalWeb"/>
        <w:numPr>
          <w:ilvl w:val="0"/>
          <w:numId w:val="2"/>
        </w:numPr>
        <w:shd w:val="clear" w:color="auto" w:fill="FFFFFF"/>
        <w:spacing w:after="270" w:line="300" w:lineRule="atLeast"/>
      </w:pPr>
      <w:r>
        <w:t>Formation des éducatrices (</w:t>
      </w:r>
      <w:proofErr w:type="spellStart"/>
      <w:r>
        <w:t>teurs</w:t>
      </w:r>
      <w:proofErr w:type="spellEnd"/>
      <w:r>
        <w:t>) : qualifiante, continue, par apprentissage, VAEP</w:t>
      </w:r>
    </w:p>
    <w:p w14:paraId="329840F1" w14:textId="77777777" w:rsidR="00D24A48" w:rsidRDefault="00000000">
      <w:pPr>
        <w:pStyle w:val="NormalWeb"/>
        <w:shd w:val="clear" w:color="auto" w:fill="FFFFFF"/>
        <w:spacing w:after="270" w:line="300" w:lineRule="atLeast"/>
        <w:rPr>
          <w:b/>
          <w:bCs/>
        </w:rPr>
      </w:pPr>
      <w:r>
        <w:rPr>
          <w:b/>
          <w:bCs/>
        </w:rPr>
        <w:t>Dates</w:t>
      </w:r>
      <w:r>
        <w:rPr>
          <w:b/>
          <w:bCs/>
          <w:rtl/>
        </w:rPr>
        <w:t xml:space="preserve"> :</w:t>
      </w:r>
    </w:p>
    <w:p w14:paraId="16001F0A" w14:textId="77777777" w:rsidR="00D24A48" w:rsidRDefault="00000000">
      <w:pPr>
        <w:pStyle w:val="NormalWeb"/>
        <w:numPr>
          <w:ilvl w:val="0"/>
          <w:numId w:val="1"/>
        </w:numPr>
        <w:shd w:val="clear" w:color="auto" w:fill="FFFFFF"/>
        <w:spacing w:after="270" w:line="300" w:lineRule="atLeast"/>
      </w:pPr>
      <w:r>
        <w:t>Date limite pour soumettre les résumés : 24 avril 2024</w:t>
      </w:r>
      <w:r>
        <w:rPr>
          <w:rtl/>
        </w:rPr>
        <w:t>.</w:t>
      </w:r>
    </w:p>
    <w:p w14:paraId="1DB39309" w14:textId="77777777" w:rsidR="00D24A48" w:rsidRDefault="00000000">
      <w:pPr>
        <w:pStyle w:val="NormalWeb"/>
        <w:numPr>
          <w:ilvl w:val="0"/>
          <w:numId w:val="1"/>
        </w:numPr>
        <w:shd w:val="clear" w:color="auto" w:fill="FFFFFF"/>
        <w:spacing w:after="270" w:line="300" w:lineRule="atLeast"/>
      </w:pPr>
      <w:r>
        <w:t>Notification d'acceptation des résumés à partir du 1er mai 2024</w:t>
      </w:r>
      <w:r>
        <w:rPr>
          <w:rtl/>
        </w:rPr>
        <w:t>.</w:t>
      </w:r>
    </w:p>
    <w:p w14:paraId="0D1C6FED" w14:textId="77777777" w:rsidR="00D24A48" w:rsidRDefault="00000000">
      <w:pPr>
        <w:pStyle w:val="NormalWeb"/>
        <w:numPr>
          <w:ilvl w:val="0"/>
          <w:numId w:val="1"/>
        </w:numPr>
        <w:shd w:val="clear" w:color="auto" w:fill="FFFFFF"/>
        <w:spacing w:after="270" w:line="300" w:lineRule="atLeast"/>
      </w:pPr>
      <w:r>
        <w:t>Réception des articles complets avant le 16 mai 2024</w:t>
      </w:r>
      <w:r>
        <w:rPr>
          <w:rtl/>
        </w:rPr>
        <w:t>.</w:t>
      </w:r>
    </w:p>
    <w:p w14:paraId="16FE9EA8" w14:textId="77777777" w:rsidR="00D24A48" w:rsidRDefault="00000000">
      <w:pPr>
        <w:pStyle w:val="NormalWeb"/>
        <w:shd w:val="clear" w:color="auto" w:fill="FFFFFF"/>
        <w:spacing w:after="270" w:line="300" w:lineRule="atLeast"/>
      </w:pPr>
      <w:r>
        <w:rPr>
          <w:b/>
          <w:bCs/>
        </w:rPr>
        <w:t>Lieu du Colloque</w:t>
      </w:r>
      <w:r>
        <w:t xml:space="preserve"> </w:t>
      </w:r>
      <w:r>
        <w:rPr>
          <w:rFonts w:hint="cs"/>
          <w:rtl/>
        </w:rPr>
        <w:t>:</w:t>
      </w:r>
      <w:r>
        <w:t xml:space="preserve"> Complexe administratif et culturel "Mohammed VI" relevant du ministère des Affaires religieuses et des </w:t>
      </w:r>
      <w:proofErr w:type="spellStart"/>
      <w:r>
        <w:t>Aqafs</w:t>
      </w:r>
      <w:proofErr w:type="spellEnd"/>
      <w:r>
        <w:t xml:space="preserve"> à Marrakech</w:t>
      </w:r>
      <w:r>
        <w:rPr>
          <w:rtl/>
        </w:rPr>
        <w:t>.</w:t>
      </w:r>
    </w:p>
    <w:p w14:paraId="4119586A" w14:textId="77777777" w:rsidR="00D24A48" w:rsidRDefault="00000000">
      <w:pPr>
        <w:pStyle w:val="NormalWeb"/>
        <w:shd w:val="clear" w:color="auto" w:fill="FFFFFF"/>
        <w:spacing w:after="270" w:line="300" w:lineRule="atLeast"/>
      </w:pPr>
      <w:r>
        <w:rPr>
          <w:b/>
          <w:bCs/>
        </w:rPr>
        <w:t>Langues du Colloque</w:t>
      </w:r>
      <w:r>
        <w:rPr>
          <w:rFonts w:hint="cs"/>
          <w:rtl/>
        </w:rPr>
        <w:t xml:space="preserve"> </w:t>
      </w:r>
      <w:r>
        <w:rPr>
          <w:rtl/>
        </w:rPr>
        <w:t>:</w:t>
      </w:r>
      <w:r>
        <w:t xml:space="preserve"> Arabe, Amazigh, Français et Anglais</w:t>
      </w:r>
      <w:r>
        <w:rPr>
          <w:rtl/>
        </w:rPr>
        <w:t>.</w:t>
      </w:r>
    </w:p>
    <w:p w14:paraId="0461BBFE" w14:textId="77777777" w:rsidR="00D24A48" w:rsidRDefault="00000000">
      <w:pPr>
        <w:pStyle w:val="NormalWeb"/>
        <w:shd w:val="clear" w:color="auto" w:fill="FFFFFF"/>
        <w:spacing w:after="270" w:line="300" w:lineRule="atLeast"/>
      </w:pPr>
      <w:r>
        <w:rPr>
          <w:b/>
          <w:bCs/>
        </w:rPr>
        <w:t>Conditions de participation</w:t>
      </w:r>
      <w:r>
        <w:rPr>
          <w:rtl/>
        </w:rPr>
        <w:t xml:space="preserve"> :</w:t>
      </w:r>
    </w:p>
    <w:p w14:paraId="3475BED0" w14:textId="77777777" w:rsidR="00D24A48" w:rsidRDefault="00000000">
      <w:pPr>
        <w:pStyle w:val="NormalWeb"/>
        <w:numPr>
          <w:ilvl w:val="0"/>
          <w:numId w:val="3"/>
        </w:numPr>
        <w:shd w:val="clear" w:color="auto" w:fill="FFFFFF"/>
        <w:spacing w:after="270" w:line="300" w:lineRule="atLeast"/>
      </w:pPr>
      <w:r>
        <w:lastRenderedPageBreak/>
        <w:t>La recherche doit être originale et liée aux axes proposés</w:t>
      </w:r>
      <w:r>
        <w:rPr>
          <w:rtl/>
        </w:rPr>
        <w:t>.</w:t>
      </w:r>
    </w:p>
    <w:p w14:paraId="24260C9A" w14:textId="77777777" w:rsidR="00D24A48" w:rsidRDefault="00000000">
      <w:pPr>
        <w:pStyle w:val="NormalWeb"/>
        <w:numPr>
          <w:ilvl w:val="0"/>
          <w:numId w:val="3"/>
        </w:numPr>
        <w:shd w:val="clear" w:color="auto" w:fill="FFFFFF"/>
        <w:spacing w:after="270" w:line="300" w:lineRule="atLeast"/>
      </w:pPr>
      <w:r>
        <w:t>Le résumé ne doit pas dépasser 500 mots et doit inclure la problématique, les objectifs, la méthodologie et les mots clés</w:t>
      </w:r>
      <w:r>
        <w:rPr>
          <w:rtl/>
        </w:rPr>
        <w:t>.</w:t>
      </w:r>
    </w:p>
    <w:p w14:paraId="62BE3E05" w14:textId="77777777" w:rsidR="00D24A48" w:rsidRDefault="00000000">
      <w:pPr>
        <w:pStyle w:val="NormalWeb"/>
        <w:numPr>
          <w:ilvl w:val="0"/>
          <w:numId w:val="3"/>
        </w:numPr>
        <w:shd w:val="clear" w:color="auto" w:fill="FFFFFF"/>
        <w:spacing w:after="270" w:line="300" w:lineRule="atLeast"/>
      </w:pPr>
      <w:r>
        <w:t>L'article complet doit contenir entre 5000 et 6000 mots</w:t>
      </w:r>
      <w:r>
        <w:rPr>
          <w:rtl/>
        </w:rPr>
        <w:t>.</w:t>
      </w:r>
    </w:p>
    <w:p w14:paraId="375E29FF" w14:textId="77777777" w:rsidR="00D24A48" w:rsidRDefault="00000000">
      <w:pPr>
        <w:pStyle w:val="NormalWeb"/>
        <w:numPr>
          <w:ilvl w:val="0"/>
          <w:numId w:val="3"/>
        </w:numPr>
        <w:shd w:val="clear" w:color="auto" w:fill="FFFFFF"/>
        <w:spacing w:after="270" w:line="300" w:lineRule="atLeast"/>
      </w:pPr>
      <w:r>
        <w:t xml:space="preserve">Inclure le nom du chercheur, son institution, son titre académique et son adresse </w:t>
      </w:r>
      <w:proofErr w:type="gramStart"/>
      <w:r>
        <w:t>e-mail</w:t>
      </w:r>
      <w:proofErr w:type="gramEnd"/>
      <w:r>
        <w:t xml:space="preserve"> directement sous le titre de l'article</w:t>
      </w:r>
      <w:r>
        <w:rPr>
          <w:rtl/>
        </w:rPr>
        <w:t>.</w:t>
      </w:r>
    </w:p>
    <w:p w14:paraId="327DEFDB" w14:textId="77777777" w:rsidR="00D24A48" w:rsidRDefault="00000000">
      <w:pPr>
        <w:pStyle w:val="NormalWeb"/>
        <w:numPr>
          <w:ilvl w:val="0"/>
          <w:numId w:val="3"/>
        </w:numPr>
        <w:shd w:val="clear" w:color="auto" w:fill="FFFFFF"/>
        <w:spacing w:after="270" w:line="300" w:lineRule="atLeast"/>
      </w:pPr>
      <w:r>
        <w:t>Pour les textes en arabe, la police de caractères utilisée doit être "</w:t>
      </w:r>
      <w:proofErr w:type="spellStart"/>
      <w:r>
        <w:t>sakkal</w:t>
      </w:r>
      <w:proofErr w:type="spellEnd"/>
      <w:r>
        <w:t xml:space="preserve"> </w:t>
      </w:r>
      <w:proofErr w:type="spellStart"/>
      <w:r>
        <w:t>majalla</w:t>
      </w:r>
      <w:proofErr w:type="spellEnd"/>
      <w:r>
        <w:t>" avec une taille de 14 pour le texte et de 16 pour les titres, et de 12 pour les notes en bas de page ; pour les textes en français et anglais, la police de caractères doit être ‘’Times New Roman’’ avec une taille de 11 pour le texte, 12 pour les titres et 10 pour les notes de bas de page.</w:t>
      </w:r>
    </w:p>
    <w:p w14:paraId="1A71FD16" w14:textId="1CA40C48" w:rsidR="00BC1F43" w:rsidRPr="002E6F95" w:rsidRDefault="00000000" w:rsidP="002E6F95">
      <w:pPr>
        <w:spacing w:before="21"/>
        <w:ind w:left="2450"/>
      </w:pPr>
      <w:r>
        <w:rPr>
          <w:b/>
          <w:bCs/>
        </w:rPr>
        <w:t>Contact</w:t>
      </w:r>
      <w:r>
        <w:t xml:space="preserve"> : M. Abdelaziz Essayedi, Coordinateur général du colloque international pour l'année 2024 </w:t>
      </w:r>
      <w:r w:rsidR="00BC1F43">
        <w:t>–</w:t>
      </w:r>
      <w:r>
        <w:t xml:space="preserve"> </w:t>
      </w:r>
      <w:r w:rsidR="00BC1F43">
        <w:t xml:space="preserve">Téléphone : +212 661374841 </w:t>
      </w:r>
      <w:r w:rsidR="00BC1F43" w:rsidRPr="002E6F95">
        <w:t xml:space="preserve">– </w:t>
      </w:r>
      <w:r w:rsidR="002E6F95">
        <w:t xml:space="preserve">    </w:t>
      </w:r>
      <w:proofErr w:type="gramStart"/>
      <w:r w:rsidR="00BC1F43" w:rsidRPr="002E6F95">
        <w:t>Email</w:t>
      </w:r>
      <w:proofErr w:type="gramEnd"/>
      <w:r w:rsidR="00BC1F43" w:rsidRPr="002E6F95">
        <w:t xml:space="preserve"> : </w:t>
      </w:r>
      <w:hyperlink r:id="rId9">
        <w:r w:rsidR="00BC1F43" w:rsidRPr="002E6F95">
          <w:t>Centrerouacolloque24@gmail.com</w:t>
        </w:r>
      </w:hyperlink>
    </w:p>
    <w:sectPr w:rsidR="00BC1F43" w:rsidRPr="002E6F95" w:rsidSect="0093078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E0EF0" w14:textId="77777777" w:rsidR="00930784" w:rsidRDefault="00930784" w:rsidP="00BC1F43">
      <w:pPr>
        <w:spacing w:after="0" w:line="240" w:lineRule="auto"/>
      </w:pPr>
      <w:r>
        <w:separator/>
      </w:r>
    </w:p>
  </w:endnote>
  <w:endnote w:type="continuationSeparator" w:id="0">
    <w:p w14:paraId="68C62373" w14:textId="77777777" w:rsidR="00930784" w:rsidRDefault="00930784" w:rsidP="00BC1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8AC81" w14:textId="77777777" w:rsidR="00930784" w:rsidRDefault="00930784" w:rsidP="00BC1F43">
      <w:pPr>
        <w:spacing w:after="0" w:line="240" w:lineRule="auto"/>
      </w:pPr>
      <w:r>
        <w:separator/>
      </w:r>
    </w:p>
  </w:footnote>
  <w:footnote w:type="continuationSeparator" w:id="0">
    <w:p w14:paraId="20122018" w14:textId="77777777" w:rsidR="00930784" w:rsidRDefault="00930784" w:rsidP="00BC1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80A6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99886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62C07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0000004"/>
    <w:multiLevelType w:val="hybridMultilevel"/>
    <w:tmpl w:val="D3AE33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874361"/>
    <w:multiLevelType w:val="hybridMultilevel"/>
    <w:tmpl w:val="37C60E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4281152">
    <w:abstractNumId w:val="3"/>
  </w:num>
  <w:num w:numId="2" w16cid:durableId="393547113">
    <w:abstractNumId w:val="2"/>
  </w:num>
  <w:num w:numId="3" w16cid:durableId="1404796586">
    <w:abstractNumId w:val="4"/>
  </w:num>
  <w:num w:numId="4" w16cid:durableId="870802591">
    <w:abstractNumId w:val="0"/>
  </w:num>
  <w:num w:numId="5" w16cid:durableId="1400329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A48"/>
    <w:rsid w:val="000354A8"/>
    <w:rsid w:val="000C23FB"/>
    <w:rsid w:val="001D4BB6"/>
    <w:rsid w:val="002E6F95"/>
    <w:rsid w:val="003D0032"/>
    <w:rsid w:val="005F2E26"/>
    <w:rsid w:val="005F7442"/>
    <w:rsid w:val="00641444"/>
    <w:rsid w:val="00784B83"/>
    <w:rsid w:val="007B0E0A"/>
    <w:rsid w:val="007F2F63"/>
    <w:rsid w:val="00842ED1"/>
    <w:rsid w:val="00885476"/>
    <w:rsid w:val="00910626"/>
    <w:rsid w:val="00930784"/>
    <w:rsid w:val="00A92BA0"/>
    <w:rsid w:val="00BC1F43"/>
    <w:rsid w:val="00BD1FAE"/>
    <w:rsid w:val="00C033AC"/>
    <w:rsid w:val="00C67172"/>
    <w:rsid w:val="00CE182F"/>
    <w:rsid w:val="00D24A48"/>
    <w:rsid w:val="00E05194"/>
    <w:rsid w:val="00E14AB6"/>
    <w:rsid w:val="00E829F2"/>
    <w:rsid w:val="00E92353"/>
    <w:rsid w:val="00F1042C"/>
    <w:rsid w:val="00FC55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EB49F"/>
  <w15:docId w15:val="{FD132599-4A10-4A4D-8683-344CBB782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paragraph" w:styleId="En-tte">
    <w:name w:val="header"/>
    <w:basedOn w:val="Normal"/>
    <w:link w:val="En-tteCar"/>
    <w:uiPriority w:val="99"/>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basedOn w:val="Policepardfaut"/>
    <w:uiPriority w:val="99"/>
    <w:rPr>
      <w:color w:val="0000FF"/>
      <w:u w:val="single"/>
    </w:rPr>
  </w:style>
  <w:style w:type="character" w:customStyle="1" w:styleId="Mentionnonrsolue1">
    <w:name w:val="Mention non résolue1"/>
    <w:basedOn w:val="Policepardfau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entrerouacolloque2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1130</Words>
  <Characters>6219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ABDELKADER MOKHLISSE</dc:creator>
  <cp:lastModifiedBy>ES SAYEDI ABDELAZIZ</cp:lastModifiedBy>
  <cp:revision>4</cp:revision>
  <cp:lastPrinted>2024-04-11T23:26:00Z</cp:lastPrinted>
  <dcterms:created xsi:type="dcterms:W3CDTF">2024-04-11T23:20:00Z</dcterms:created>
  <dcterms:modified xsi:type="dcterms:W3CDTF">2024-04-11T23:27:00Z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d8e31ddad1c241a488fec01cdde8b313</vt:lpwstr>
  </property>
</Properties>
</file>